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D369B" w14:textId="77777777" w:rsidR="00804F00" w:rsidRDefault="00804F00" w:rsidP="00804F00">
      <w:pPr>
        <w:pStyle w:val="xmsonormal"/>
        <w:spacing w:before="0" w:after="0"/>
        <w:rPr>
          <w:rFonts w:ascii="&amp;quot" w:hAnsi="&amp;quot"/>
          <w:color w:val="201F1E"/>
          <w:sz w:val="23"/>
          <w:szCs w:val="23"/>
        </w:rPr>
      </w:pPr>
      <w:r>
        <w:rPr>
          <w:rStyle w:val="Strong"/>
          <w:rFonts w:ascii="Verdana" w:hAnsi="Verdana"/>
          <w:color w:val="009FDB"/>
          <w:sz w:val="23"/>
          <w:szCs w:val="23"/>
          <w:bdr w:val="none" w:sz="0" w:space="0" w:color="auto" w:frame="1"/>
        </w:rPr>
        <w:t>COVID-19: Revised CDC Guidelines for Individuals at Higher Risk Due to Age</w:t>
      </w:r>
      <w:r>
        <w:rPr>
          <w:rFonts w:ascii="Verdana" w:hAnsi="Verdana"/>
          <w:b/>
          <w:bCs/>
          <w:color w:val="009FDB"/>
          <w:sz w:val="23"/>
          <w:szCs w:val="23"/>
          <w:bdr w:val="none" w:sz="0" w:space="0" w:color="auto" w:frame="1"/>
        </w:rPr>
        <w:t> </w:t>
      </w:r>
      <w:r>
        <w:rPr>
          <w:rFonts w:ascii="Verdana" w:hAnsi="Verdana"/>
          <w:color w:val="201F1E"/>
          <w:sz w:val="20"/>
          <w:szCs w:val="20"/>
          <w:bdr w:val="none" w:sz="0" w:space="0" w:color="auto" w:frame="1"/>
        </w:rPr>
        <w:br/>
      </w:r>
      <w:r>
        <w:rPr>
          <w:rFonts w:ascii="Verdana" w:hAnsi="Verdana"/>
          <w:color w:val="201F1E"/>
          <w:sz w:val="20"/>
          <w:szCs w:val="20"/>
          <w:bdr w:val="none" w:sz="0" w:space="0" w:color="auto" w:frame="1"/>
        </w:rPr>
        <w:br/>
      </w:r>
      <w:r>
        <w:rPr>
          <w:rStyle w:val="Strong"/>
          <w:rFonts w:ascii="Verdana" w:hAnsi="Verdana"/>
          <w:color w:val="201F1E"/>
          <w:sz w:val="20"/>
          <w:szCs w:val="20"/>
          <w:bdr w:val="none" w:sz="0" w:space="0" w:color="auto" w:frame="1"/>
        </w:rPr>
        <w:t>To</w:t>
      </w:r>
      <w:r>
        <w:rPr>
          <w:rFonts w:ascii="Verdana" w:hAnsi="Verdana"/>
          <w:color w:val="201F1E"/>
          <w:sz w:val="20"/>
          <w:szCs w:val="20"/>
          <w:bdr w:val="none" w:sz="0" w:space="0" w:color="auto" w:frame="1"/>
        </w:rPr>
        <w:t>: AT&amp;T Corporate, AT&amp;T Communications and US-based AT&amp;T Latin America employees on Temporary Leave related to higher risk conditions</w:t>
      </w:r>
    </w:p>
    <w:p w14:paraId="76B4B90A" w14:textId="77777777" w:rsidR="00804F00" w:rsidRDefault="00804F00" w:rsidP="00804F00">
      <w:pPr>
        <w:pStyle w:val="NormalWeb"/>
        <w:spacing w:before="0" w:after="0"/>
        <w:rPr>
          <w:rFonts w:ascii="&amp;quot" w:hAnsi="&amp;quot"/>
          <w:color w:val="201F1E"/>
          <w:sz w:val="23"/>
          <w:szCs w:val="23"/>
        </w:rPr>
      </w:pPr>
      <w:r>
        <w:rPr>
          <w:rFonts w:ascii="Verdana" w:hAnsi="Verdana"/>
          <w:color w:val="201F1E"/>
          <w:sz w:val="20"/>
          <w:szCs w:val="20"/>
          <w:bdr w:val="none" w:sz="0" w:space="0" w:color="auto" w:frame="1"/>
        </w:rPr>
        <w:t>Since the COVID-19 outbreak began, we've taken important preventative measures to help our colleagues around the world and we’re closely following guidance from the U.S. Centers for Disease Control (CDC). </w:t>
      </w:r>
      <w:r>
        <w:rPr>
          <w:rFonts w:ascii="Verdana" w:hAnsi="Verdana"/>
          <w:color w:val="201F1E"/>
          <w:sz w:val="20"/>
          <w:szCs w:val="20"/>
          <w:bdr w:val="none" w:sz="0" w:space="0" w:color="auto" w:frame="1"/>
        </w:rPr>
        <w:br/>
      </w:r>
      <w:r>
        <w:rPr>
          <w:rFonts w:ascii="Verdana" w:hAnsi="Verdana"/>
          <w:color w:val="201F1E"/>
          <w:sz w:val="20"/>
          <w:szCs w:val="20"/>
          <w:bdr w:val="none" w:sz="0" w:space="0" w:color="auto" w:frame="1"/>
        </w:rPr>
        <w:br/>
        <w:t>The CDC recently changed its criteria for which older adults should be considered higher risk. The CDC’s new guidance is for increased caution for people age 65 years and older. It was previously aged 60 years and older. </w:t>
      </w:r>
      <w:r>
        <w:rPr>
          <w:rFonts w:ascii="Verdana" w:hAnsi="Verdana"/>
          <w:color w:val="201F1E"/>
          <w:sz w:val="20"/>
          <w:szCs w:val="20"/>
          <w:bdr w:val="none" w:sz="0" w:space="0" w:color="auto" w:frame="1"/>
        </w:rPr>
        <w:br/>
      </w:r>
      <w:r>
        <w:rPr>
          <w:rFonts w:ascii="Verdana" w:hAnsi="Verdana"/>
          <w:color w:val="201F1E"/>
          <w:sz w:val="20"/>
          <w:szCs w:val="20"/>
          <w:bdr w:val="none" w:sz="0" w:space="0" w:color="auto" w:frame="1"/>
        </w:rPr>
        <w:br/>
        <w:t>Temporary excused, paid leave will end on Friday, March 27 – and will be paid through this date – if the following apply:</w:t>
      </w:r>
    </w:p>
    <w:p w14:paraId="0E2BA195" w14:textId="77777777" w:rsidR="00804F00" w:rsidRDefault="00804F00" w:rsidP="00804F00">
      <w:pPr>
        <w:pStyle w:val="xmsonormal"/>
        <w:numPr>
          <w:ilvl w:val="0"/>
          <w:numId w:val="1"/>
        </w:numPr>
        <w:spacing w:before="0" w:after="0"/>
        <w:ind w:left="945"/>
        <w:rPr>
          <w:rFonts w:ascii="&amp;quot" w:hAnsi="&amp;quot"/>
          <w:color w:val="201F1E"/>
          <w:sz w:val="23"/>
          <w:szCs w:val="23"/>
        </w:rPr>
      </w:pPr>
      <w:r>
        <w:rPr>
          <w:rFonts w:ascii="Verdana" w:hAnsi="Verdana"/>
          <w:color w:val="201F1E"/>
          <w:sz w:val="20"/>
          <w:szCs w:val="20"/>
          <w:bdr w:val="none" w:sz="0" w:space="0" w:color="auto" w:frame="1"/>
        </w:rPr>
        <w:t>If your higher risk leave was based solely on age 60-64, </w:t>
      </w:r>
      <w:r>
        <w:rPr>
          <w:rFonts w:ascii="Verdana" w:hAnsi="Verdana"/>
          <w:b/>
          <w:bCs/>
          <w:color w:val="201F1E"/>
          <w:sz w:val="20"/>
          <w:szCs w:val="20"/>
          <w:bdr w:val="none" w:sz="0" w:space="0" w:color="auto" w:frame="1"/>
        </w:rPr>
        <w:t>AND</w:t>
      </w:r>
    </w:p>
    <w:p w14:paraId="3AE288CD" w14:textId="77777777" w:rsidR="00804F00" w:rsidRDefault="00804F00" w:rsidP="00804F00">
      <w:pPr>
        <w:pStyle w:val="xmsonormal"/>
        <w:numPr>
          <w:ilvl w:val="0"/>
          <w:numId w:val="1"/>
        </w:numPr>
        <w:spacing w:before="0" w:after="0"/>
        <w:ind w:left="945"/>
        <w:rPr>
          <w:rFonts w:ascii="&amp;quot" w:hAnsi="&amp;quot"/>
          <w:color w:val="201F1E"/>
          <w:sz w:val="23"/>
          <w:szCs w:val="23"/>
        </w:rPr>
      </w:pPr>
      <w:r>
        <w:rPr>
          <w:rFonts w:ascii="Verdana" w:hAnsi="Verdana"/>
          <w:color w:val="201F1E"/>
          <w:sz w:val="20"/>
          <w:szCs w:val="20"/>
          <w:bdr w:val="none" w:sz="0" w:space="0" w:color="auto" w:frame="1"/>
        </w:rPr>
        <w:t>You do not have other higher risk conditions </w:t>
      </w:r>
      <w:r>
        <w:rPr>
          <w:rFonts w:ascii="Verdana" w:hAnsi="Verdana"/>
          <w:b/>
          <w:bCs/>
          <w:color w:val="201F1E"/>
          <w:sz w:val="20"/>
          <w:szCs w:val="20"/>
          <w:bdr w:val="none" w:sz="0" w:space="0" w:color="auto" w:frame="1"/>
        </w:rPr>
        <w:t>OR</w:t>
      </w:r>
    </w:p>
    <w:p w14:paraId="1FA6F8BE" w14:textId="77777777" w:rsidR="00804F00" w:rsidRDefault="00804F00" w:rsidP="00804F00">
      <w:pPr>
        <w:pStyle w:val="xmsonormal"/>
        <w:numPr>
          <w:ilvl w:val="0"/>
          <w:numId w:val="1"/>
        </w:numPr>
        <w:spacing w:before="0" w:after="0"/>
        <w:ind w:left="945"/>
        <w:rPr>
          <w:rFonts w:ascii="&amp;quot" w:hAnsi="&amp;quot"/>
          <w:color w:val="201F1E"/>
          <w:sz w:val="23"/>
          <w:szCs w:val="23"/>
        </w:rPr>
      </w:pPr>
      <w:r>
        <w:rPr>
          <w:rFonts w:ascii="Verdana" w:hAnsi="Verdana"/>
          <w:color w:val="201F1E"/>
          <w:sz w:val="20"/>
          <w:szCs w:val="20"/>
          <w:bdr w:val="none" w:sz="0" w:space="0" w:color="auto" w:frame="1"/>
        </w:rPr>
        <w:t>You do not qualify for other temporary leave types</w:t>
      </w:r>
    </w:p>
    <w:p w14:paraId="63A14373" w14:textId="77777777" w:rsidR="00804F00" w:rsidRDefault="00804F00" w:rsidP="00804F00">
      <w:pPr>
        <w:pStyle w:val="xmsonormal"/>
        <w:spacing w:before="0" w:after="0"/>
        <w:rPr>
          <w:rFonts w:ascii="&amp;quot" w:hAnsi="&amp;quot"/>
          <w:color w:val="201F1E"/>
          <w:sz w:val="23"/>
          <w:szCs w:val="23"/>
        </w:rPr>
      </w:pPr>
      <w:r>
        <w:rPr>
          <w:rFonts w:ascii="Verdana" w:hAnsi="Verdana"/>
          <w:color w:val="201F1E"/>
          <w:sz w:val="20"/>
          <w:szCs w:val="20"/>
          <w:bdr w:val="none" w:sz="0" w:space="0" w:color="auto" w:frame="1"/>
        </w:rPr>
        <w:t>You do not need to provide written clearance from a medical provider to return to work. </w:t>
      </w:r>
      <w:r>
        <w:rPr>
          <w:rFonts w:ascii="Verdana" w:hAnsi="Verdana"/>
          <w:color w:val="201F1E"/>
          <w:sz w:val="20"/>
          <w:szCs w:val="20"/>
          <w:bdr w:val="none" w:sz="0" w:space="0" w:color="auto" w:frame="1"/>
        </w:rPr>
        <w:br/>
      </w:r>
      <w:r>
        <w:rPr>
          <w:rFonts w:ascii="Verdana" w:hAnsi="Verdana"/>
          <w:color w:val="201F1E"/>
          <w:sz w:val="20"/>
          <w:szCs w:val="20"/>
          <w:bdr w:val="none" w:sz="0" w:space="0" w:color="auto" w:frame="1"/>
        </w:rPr>
        <w:br/>
        <w:t>Please contact your supervisor to coordinate returning to work either at the workplace or from home beginning on Saturday, March 28, or Monday, March 30, based on your work schedule.</w:t>
      </w:r>
      <w:r>
        <w:rPr>
          <w:rFonts w:ascii="Verdana" w:hAnsi="Verdana"/>
          <w:color w:val="201F1E"/>
          <w:sz w:val="20"/>
          <w:szCs w:val="20"/>
          <w:bdr w:val="none" w:sz="0" w:space="0" w:color="auto" w:frame="1"/>
        </w:rPr>
        <w:br/>
      </w:r>
      <w:r>
        <w:rPr>
          <w:rFonts w:ascii="Verdana" w:hAnsi="Verdana"/>
          <w:color w:val="201F1E"/>
          <w:sz w:val="20"/>
          <w:szCs w:val="20"/>
          <w:bdr w:val="none" w:sz="0" w:space="0" w:color="auto" w:frame="1"/>
        </w:rPr>
        <w:br/>
        <w:t>In returning to work, you’ll be expected to observe CDC guidelines including social distancing (stay 6 feet away from others), washing hands frequently and following all good health hygiene practices. </w:t>
      </w:r>
      <w:r>
        <w:rPr>
          <w:rFonts w:ascii="Verdana" w:hAnsi="Verdana"/>
          <w:color w:val="201F1E"/>
          <w:sz w:val="20"/>
          <w:szCs w:val="20"/>
          <w:bdr w:val="none" w:sz="0" w:space="0" w:color="auto" w:frame="1"/>
        </w:rPr>
        <w:br/>
      </w:r>
      <w:r>
        <w:rPr>
          <w:rFonts w:ascii="Verdana" w:hAnsi="Verdana"/>
          <w:color w:val="201F1E"/>
          <w:sz w:val="20"/>
          <w:szCs w:val="20"/>
          <w:bdr w:val="none" w:sz="0" w:space="0" w:color="auto" w:frame="1"/>
        </w:rPr>
        <w:br/>
        <w:t>If you have further concerns about your health and COVID-19 – and are not able to report to work at this time – you may elect to use your available PTO, sick time, or other leaves for which you may qualify, including higher risk status based on other CDC criteria. </w:t>
      </w:r>
      <w:r>
        <w:rPr>
          <w:rFonts w:ascii="Verdana" w:hAnsi="Verdana"/>
          <w:color w:val="201F1E"/>
          <w:sz w:val="20"/>
          <w:szCs w:val="20"/>
          <w:bdr w:val="none" w:sz="0" w:space="0" w:color="auto" w:frame="1"/>
        </w:rPr>
        <w:br/>
      </w:r>
      <w:r>
        <w:rPr>
          <w:rFonts w:ascii="Verdana" w:hAnsi="Verdana"/>
          <w:color w:val="201F1E"/>
          <w:sz w:val="20"/>
          <w:szCs w:val="20"/>
          <w:bdr w:val="none" w:sz="0" w:space="0" w:color="auto" w:frame="1"/>
        </w:rPr>
        <w:br/>
        <w:t>You may also reach out to </w:t>
      </w:r>
      <w:hyperlink r:id="rId5" w:tgtFrame="_blank" w:history="1">
        <w:r>
          <w:rPr>
            <w:rStyle w:val="Hyperlink"/>
            <w:rFonts w:ascii="inherit" w:hAnsi="inherit"/>
            <w:color w:val="009FDB"/>
            <w:sz w:val="20"/>
            <w:szCs w:val="20"/>
            <w:bdr w:val="none" w:sz="0" w:space="0" w:color="auto" w:frame="1"/>
          </w:rPr>
          <w:t>Human Resources</w:t>
        </w:r>
      </w:hyperlink>
      <w:r>
        <w:rPr>
          <w:rFonts w:ascii="Verdana" w:hAnsi="Verdana"/>
          <w:color w:val="201F1E"/>
          <w:sz w:val="20"/>
          <w:szCs w:val="20"/>
          <w:bdr w:val="none" w:sz="0" w:space="0" w:color="auto" w:frame="1"/>
        </w:rPr>
        <w:t> for help if needed.</w:t>
      </w:r>
    </w:p>
    <w:p w14:paraId="16638D3F" w14:textId="5137B74E" w:rsidR="00DA6FBC" w:rsidRDefault="00DA6FBC">
      <w:bookmarkStart w:id="0" w:name="_GoBack"/>
      <w:bookmarkEnd w:id="0"/>
    </w:p>
    <w:sectPr w:rsidR="00DA6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07079"/>
    <w:multiLevelType w:val="multilevel"/>
    <w:tmpl w:val="37E8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00"/>
    <w:rsid w:val="00804F00"/>
    <w:rsid w:val="00DA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DE6F"/>
  <w15:chartTrackingRefBased/>
  <w15:docId w15:val="{8A8C199A-CC5A-406D-8D5C-86AB8F33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04F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4F00"/>
    <w:rPr>
      <w:b/>
      <w:bCs/>
    </w:rPr>
  </w:style>
  <w:style w:type="paragraph" w:styleId="NormalWeb">
    <w:name w:val="Normal (Web)"/>
    <w:basedOn w:val="Normal"/>
    <w:uiPriority w:val="99"/>
    <w:semiHidden/>
    <w:unhideWhenUsed/>
    <w:rsid w:val="00804F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00446@at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Mehaffey</dc:creator>
  <cp:keywords/>
  <dc:description/>
  <cp:lastModifiedBy>Natasha Mehaffey</cp:lastModifiedBy>
  <cp:revision>1</cp:revision>
  <dcterms:created xsi:type="dcterms:W3CDTF">2020-03-25T15:54:00Z</dcterms:created>
  <dcterms:modified xsi:type="dcterms:W3CDTF">2020-03-25T15:56:00Z</dcterms:modified>
</cp:coreProperties>
</file>